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18" w:rsidRPr="00133618" w:rsidRDefault="00133618" w:rsidP="00133618">
      <w:pPr>
        <w:ind w:left="6372"/>
        <w:jc w:val="center"/>
      </w:pPr>
      <w:r w:rsidRPr="00133618">
        <w:t xml:space="preserve">Nowa Dęba, </w:t>
      </w:r>
      <w:r w:rsidR="002A333D">
        <w:t>2</w:t>
      </w:r>
      <w:r w:rsidR="005A26A8">
        <w:t>6</w:t>
      </w:r>
      <w:r w:rsidRPr="00133618">
        <w:t>.</w:t>
      </w:r>
      <w:r w:rsidR="002A333D">
        <w:t>02</w:t>
      </w:r>
      <w:r w:rsidRPr="00133618">
        <w:t>.202</w:t>
      </w:r>
      <w:r w:rsidR="002A333D">
        <w:t>1</w:t>
      </w:r>
      <w:r w:rsidRPr="00133618">
        <w:t xml:space="preserve"> r.</w:t>
      </w:r>
    </w:p>
    <w:p w:rsidR="00234A30" w:rsidRPr="0097301B" w:rsidRDefault="00154BE7" w:rsidP="00973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  <w:r w:rsidR="0097301B" w:rsidRPr="0097301B">
        <w:rPr>
          <w:b/>
          <w:sz w:val="28"/>
          <w:szCs w:val="28"/>
        </w:rPr>
        <w:t xml:space="preserve"> O WYBORZE NAJKORZYSTNIEJSZEJ OFERTY</w:t>
      </w:r>
    </w:p>
    <w:p w:rsidR="00653E8F" w:rsidRPr="00F54501" w:rsidRDefault="0097301B" w:rsidP="00653E8F">
      <w:pPr>
        <w:rPr>
          <w:rFonts w:ascii="Times New Roman" w:hAnsi="Times New Roman" w:cs="Times New Roman"/>
          <w:b/>
          <w:sz w:val="24"/>
          <w:szCs w:val="24"/>
        </w:rPr>
      </w:pPr>
      <w:r w:rsidRPr="00F54501">
        <w:rPr>
          <w:rFonts w:ascii="Times New Roman" w:hAnsi="Times New Roman" w:cs="Times New Roman"/>
          <w:b/>
          <w:sz w:val="24"/>
          <w:szCs w:val="24"/>
        </w:rPr>
        <w:t>dotyczy:</w:t>
      </w:r>
    </w:p>
    <w:p w:rsidR="0097301B" w:rsidRPr="00F54501" w:rsidRDefault="002A333D" w:rsidP="00EF6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01">
        <w:rPr>
          <w:rFonts w:ascii="Times New Roman" w:hAnsi="Times New Roman" w:cs="Times New Roman"/>
          <w:b/>
          <w:sz w:val="24"/>
          <w:szCs w:val="24"/>
        </w:rPr>
        <w:t xml:space="preserve">postępowania w trybie zapytania ofertowego, dla którego nie mają zastosowania przepisy ustawy z dnia 29 stycznia 2004 r. Prawo zamówień publicznych (Dz. U. z 2019 r. poz. 2019 z </w:t>
      </w:r>
      <w:proofErr w:type="spellStart"/>
      <w:r w:rsidRPr="00F54501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F54501">
        <w:rPr>
          <w:rFonts w:ascii="Times New Roman" w:hAnsi="Times New Roman" w:cs="Times New Roman"/>
          <w:b/>
          <w:sz w:val="24"/>
          <w:szCs w:val="24"/>
        </w:rPr>
        <w:t>. zm. n</w:t>
      </w:r>
      <w:r w:rsidR="0097301B" w:rsidRPr="00F54501">
        <w:rPr>
          <w:rFonts w:ascii="Times New Roman" w:hAnsi="Times New Roman" w:cs="Times New Roman"/>
          <w:b/>
          <w:sz w:val="24"/>
          <w:szCs w:val="24"/>
        </w:rPr>
        <w:t>a</w:t>
      </w:r>
      <w:r w:rsidRPr="00F54501">
        <w:rPr>
          <w:rFonts w:ascii="Times New Roman" w:hAnsi="Times New Roman" w:cs="Times New Roman"/>
          <w:b/>
          <w:sz w:val="24"/>
          <w:szCs w:val="24"/>
        </w:rPr>
        <w:t>:</w:t>
      </w:r>
      <w:r w:rsidR="0097301B" w:rsidRPr="00F5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501">
        <w:rPr>
          <w:rFonts w:ascii="Times New Roman" w:hAnsi="Times New Roman" w:cs="Times New Roman"/>
          <w:b/>
          <w:sz w:val="24"/>
          <w:szCs w:val="24"/>
        </w:rPr>
        <w:t>„Instytucję Finansową Zarządzającą i Prowadzącą Pracownicze Plany Kapitałowe dla Domu Pomocy Społecznej w Nowej Dębie”</w:t>
      </w:r>
      <w:r w:rsidR="0097301B" w:rsidRPr="00F54501">
        <w:rPr>
          <w:rFonts w:ascii="Times New Roman" w:hAnsi="Times New Roman" w:cs="Times New Roman"/>
          <w:b/>
          <w:sz w:val="24"/>
          <w:szCs w:val="24"/>
        </w:rPr>
        <w:t>.</w:t>
      </w:r>
    </w:p>
    <w:p w:rsidR="00F54501" w:rsidRPr="00F54501" w:rsidRDefault="0097301B" w:rsidP="00F54501">
      <w:pPr>
        <w:rPr>
          <w:rFonts w:ascii="Times New Roman" w:hAnsi="Times New Roman" w:cs="Times New Roman"/>
          <w:b/>
          <w:sz w:val="24"/>
          <w:szCs w:val="24"/>
        </w:rPr>
      </w:pPr>
      <w:r w:rsidRPr="00F54501">
        <w:rPr>
          <w:rFonts w:ascii="Times New Roman" w:hAnsi="Times New Roman" w:cs="Times New Roman"/>
          <w:b/>
          <w:sz w:val="24"/>
          <w:szCs w:val="24"/>
        </w:rPr>
        <w:t xml:space="preserve">Kod CPV </w:t>
      </w:r>
      <w:r w:rsidR="002A333D" w:rsidRPr="00F54501">
        <w:rPr>
          <w:rFonts w:ascii="Times New Roman" w:hAnsi="Times New Roman" w:cs="Times New Roman"/>
          <w:b/>
          <w:sz w:val="24"/>
          <w:szCs w:val="24"/>
        </w:rPr>
        <w:t>66131100-8 (Usługi inwestycji w fundusze emerytalno-rentowe)</w:t>
      </w:r>
    </w:p>
    <w:p w:rsidR="007630B1" w:rsidRPr="00F54501" w:rsidRDefault="0097301B" w:rsidP="00F54501">
      <w:pPr>
        <w:rPr>
          <w:rFonts w:ascii="Times New Roman" w:hAnsi="Times New Roman" w:cs="Times New Roman"/>
          <w:b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 xml:space="preserve">Zamawiający  informuje, że </w:t>
      </w:r>
      <w:r w:rsidR="00DB4F0B" w:rsidRPr="00F54501">
        <w:rPr>
          <w:rFonts w:ascii="Times New Roman" w:hAnsi="Times New Roman" w:cs="Times New Roman"/>
          <w:sz w:val="24"/>
          <w:szCs w:val="24"/>
        </w:rPr>
        <w:t>z</w:t>
      </w:r>
      <w:r w:rsidRPr="00F54501">
        <w:rPr>
          <w:rFonts w:ascii="Times New Roman" w:hAnsi="Times New Roman" w:cs="Times New Roman"/>
          <w:sz w:val="24"/>
          <w:szCs w:val="24"/>
        </w:rPr>
        <w:t>apytanie ofertowe</w:t>
      </w:r>
      <w:r w:rsidR="008C52D1" w:rsidRPr="00F54501">
        <w:rPr>
          <w:rFonts w:ascii="Times New Roman" w:hAnsi="Times New Roman" w:cs="Times New Roman"/>
          <w:sz w:val="24"/>
          <w:szCs w:val="24"/>
        </w:rPr>
        <w:t xml:space="preserve"> na</w:t>
      </w:r>
      <w:r w:rsidR="002A333D" w:rsidRPr="00F54501">
        <w:rPr>
          <w:rFonts w:ascii="Times New Roman" w:hAnsi="Times New Roman" w:cs="Times New Roman"/>
          <w:sz w:val="24"/>
          <w:szCs w:val="24"/>
        </w:rPr>
        <w:t>:</w:t>
      </w:r>
      <w:r w:rsidR="008C52D1" w:rsidRPr="00F54501">
        <w:rPr>
          <w:rFonts w:ascii="Times New Roman" w:hAnsi="Times New Roman" w:cs="Times New Roman"/>
          <w:sz w:val="24"/>
          <w:szCs w:val="24"/>
        </w:rPr>
        <w:t xml:space="preserve"> </w:t>
      </w:r>
      <w:r w:rsidR="002A333D" w:rsidRPr="00F54501">
        <w:rPr>
          <w:rFonts w:ascii="Times New Roman" w:hAnsi="Times New Roman" w:cs="Times New Roman"/>
          <w:b/>
          <w:sz w:val="24"/>
          <w:szCs w:val="24"/>
        </w:rPr>
        <w:t xml:space="preserve">„Instytucję Finansową Zarządzającą      i Prowadzącą Pracownicze Plany Kapitałowe dla Domu Pomocy Społecznej w Nowej Dębie” </w:t>
      </w:r>
      <w:r w:rsidR="00FA0A9A" w:rsidRPr="00F54501">
        <w:rPr>
          <w:rFonts w:ascii="Times New Roman" w:hAnsi="Times New Roman" w:cs="Times New Roman"/>
          <w:sz w:val="24"/>
          <w:szCs w:val="24"/>
        </w:rPr>
        <w:t xml:space="preserve">umieszczone </w:t>
      </w:r>
      <w:r w:rsidR="00F54501" w:rsidRPr="00F54501">
        <w:rPr>
          <w:rFonts w:ascii="Times New Roman" w:hAnsi="Times New Roman" w:cs="Times New Roman"/>
          <w:sz w:val="24"/>
          <w:szCs w:val="24"/>
        </w:rPr>
        <w:t xml:space="preserve">zostało </w:t>
      </w:r>
      <w:r w:rsidR="00FA0A9A" w:rsidRPr="00F54501">
        <w:rPr>
          <w:rFonts w:ascii="Times New Roman" w:hAnsi="Times New Roman" w:cs="Times New Roman"/>
          <w:sz w:val="24"/>
          <w:szCs w:val="24"/>
        </w:rPr>
        <w:t>na stronie BIP</w:t>
      </w:r>
      <w:r w:rsidR="008C52D1" w:rsidRPr="00F54501">
        <w:rPr>
          <w:rFonts w:ascii="Times New Roman" w:hAnsi="Times New Roman" w:cs="Times New Roman"/>
          <w:sz w:val="24"/>
          <w:szCs w:val="24"/>
        </w:rPr>
        <w:t xml:space="preserve"> </w:t>
      </w:r>
      <w:r w:rsidR="0005123F" w:rsidRPr="00F54501">
        <w:rPr>
          <w:rFonts w:ascii="Times New Roman" w:hAnsi="Times New Roman" w:cs="Times New Roman"/>
          <w:sz w:val="24"/>
          <w:szCs w:val="24"/>
        </w:rPr>
        <w:t>w</w:t>
      </w:r>
      <w:r w:rsidR="007630B1" w:rsidRPr="00F54501">
        <w:rPr>
          <w:rFonts w:ascii="Times New Roman" w:hAnsi="Times New Roman" w:cs="Times New Roman"/>
          <w:sz w:val="24"/>
          <w:szCs w:val="24"/>
        </w:rPr>
        <w:t xml:space="preserve"> dniu </w:t>
      </w:r>
      <w:r w:rsidR="002A333D" w:rsidRPr="00F54501">
        <w:rPr>
          <w:rFonts w:ascii="Times New Roman" w:hAnsi="Times New Roman" w:cs="Times New Roman"/>
          <w:sz w:val="24"/>
          <w:szCs w:val="24"/>
        </w:rPr>
        <w:t>15</w:t>
      </w:r>
      <w:r w:rsidR="007630B1" w:rsidRPr="00F54501">
        <w:rPr>
          <w:rFonts w:ascii="Times New Roman" w:hAnsi="Times New Roman" w:cs="Times New Roman"/>
          <w:sz w:val="24"/>
          <w:szCs w:val="24"/>
        </w:rPr>
        <w:t>.</w:t>
      </w:r>
      <w:r w:rsidR="002A333D" w:rsidRPr="00F54501">
        <w:rPr>
          <w:rFonts w:ascii="Times New Roman" w:hAnsi="Times New Roman" w:cs="Times New Roman"/>
          <w:sz w:val="24"/>
          <w:szCs w:val="24"/>
        </w:rPr>
        <w:t>02</w:t>
      </w:r>
      <w:r w:rsidR="007630B1" w:rsidRPr="00F54501">
        <w:rPr>
          <w:rFonts w:ascii="Times New Roman" w:hAnsi="Times New Roman" w:cs="Times New Roman"/>
          <w:sz w:val="24"/>
          <w:szCs w:val="24"/>
        </w:rPr>
        <w:t>.202</w:t>
      </w:r>
      <w:r w:rsidR="002A333D" w:rsidRPr="00F54501">
        <w:rPr>
          <w:rFonts w:ascii="Times New Roman" w:hAnsi="Times New Roman" w:cs="Times New Roman"/>
          <w:sz w:val="24"/>
          <w:szCs w:val="24"/>
        </w:rPr>
        <w:t>1</w:t>
      </w:r>
      <w:r w:rsidR="007630B1" w:rsidRPr="00F54501">
        <w:rPr>
          <w:rFonts w:ascii="Times New Roman" w:hAnsi="Times New Roman" w:cs="Times New Roman"/>
          <w:sz w:val="24"/>
          <w:szCs w:val="24"/>
        </w:rPr>
        <w:t xml:space="preserve"> r. oraz</w:t>
      </w:r>
      <w:r w:rsidR="0005123F" w:rsidRPr="00F54501">
        <w:rPr>
          <w:rFonts w:ascii="Times New Roman" w:hAnsi="Times New Roman" w:cs="Times New Roman"/>
          <w:sz w:val="24"/>
          <w:szCs w:val="24"/>
        </w:rPr>
        <w:t xml:space="preserve"> rozesłane do </w:t>
      </w:r>
      <w:r w:rsidR="002A333D" w:rsidRPr="00F54501">
        <w:rPr>
          <w:rFonts w:ascii="Times New Roman" w:hAnsi="Times New Roman" w:cs="Times New Roman"/>
          <w:sz w:val="24"/>
          <w:szCs w:val="24"/>
        </w:rPr>
        <w:t>5</w:t>
      </w:r>
      <w:r w:rsidR="00FA0A9A" w:rsidRPr="00F54501">
        <w:rPr>
          <w:rFonts w:ascii="Times New Roman" w:hAnsi="Times New Roman" w:cs="Times New Roman"/>
          <w:sz w:val="24"/>
          <w:szCs w:val="24"/>
        </w:rPr>
        <w:t xml:space="preserve"> poniż</w:t>
      </w:r>
      <w:r w:rsidR="00DB4F0B" w:rsidRPr="00F54501">
        <w:rPr>
          <w:rFonts w:ascii="Times New Roman" w:hAnsi="Times New Roman" w:cs="Times New Roman"/>
          <w:sz w:val="24"/>
          <w:szCs w:val="24"/>
        </w:rPr>
        <w:t>ej wymienionych oferentów</w:t>
      </w:r>
      <w:r w:rsidR="008C52D1" w:rsidRPr="00F54501">
        <w:rPr>
          <w:rFonts w:ascii="Times New Roman" w:hAnsi="Times New Roman" w:cs="Times New Roman"/>
          <w:sz w:val="24"/>
          <w:szCs w:val="24"/>
        </w:rPr>
        <w:t>:</w:t>
      </w:r>
    </w:p>
    <w:p w:rsidR="007914C2" w:rsidRPr="00F54501" w:rsidRDefault="007914C2" w:rsidP="00763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>Pekao Towarzystwo Funduszy Inwestycyjnych SA, Marynarska 15, 02-674 Warszawa</w:t>
      </w:r>
      <w:r w:rsidR="00F54501" w:rsidRPr="00F54501">
        <w:rPr>
          <w:rFonts w:ascii="Times New Roman" w:hAnsi="Times New Roman" w:cs="Times New Roman"/>
          <w:sz w:val="24"/>
          <w:szCs w:val="24"/>
        </w:rPr>
        <w:t>,</w:t>
      </w:r>
    </w:p>
    <w:p w:rsidR="007630B1" w:rsidRPr="00F54501" w:rsidRDefault="007914C2" w:rsidP="00763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>PKO Towarzystwo Funduszy Inwestycyjnych SA</w:t>
      </w:r>
      <w:r w:rsidR="00DB4F0B" w:rsidRPr="00F54501">
        <w:rPr>
          <w:rFonts w:ascii="Times New Roman" w:hAnsi="Times New Roman" w:cs="Times New Roman"/>
          <w:sz w:val="24"/>
          <w:szCs w:val="24"/>
        </w:rPr>
        <w:t>,</w:t>
      </w:r>
      <w:r w:rsidRPr="00F54501">
        <w:rPr>
          <w:rFonts w:ascii="Times New Roman" w:hAnsi="Times New Roman" w:cs="Times New Roman"/>
          <w:sz w:val="24"/>
          <w:szCs w:val="24"/>
        </w:rPr>
        <w:t xml:space="preserve"> ul. Chłodna 52, 00-872 Warszawa</w:t>
      </w:r>
      <w:r w:rsidR="00F54501" w:rsidRPr="00F54501">
        <w:rPr>
          <w:rFonts w:ascii="Times New Roman" w:hAnsi="Times New Roman" w:cs="Times New Roman"/>
          <w:sz w:val="24"/>
          <w:szCs w:val="24"/>
        </w:rPr>
        <w:t>,</w:t>
      </w:r>
    </w:p>
    <w:p w:rsidR="007914C2" w:rsidRPr="00F54501" w:rsidRDefault="007914C2" w:rsidP="00763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 xml:space="preserve">AVIVA Towarzystwo Funduszy Inwestycyjnych SA, ul. Inflancka 4b, 00-189 Warszawa, </w:t>
      </w:r>
    </w:p>
    <w:p w:rsidR="007914C2" w:rsidRPr="00F54501" w:rsidRDefault="00E74238" w:rsidP="00763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>P</w:t>
      </w:r>
      <w:r w:rsidR="007914C2" w:rsidRPr="00F54501">
        <w:rPr>
          <w:rFonts w:ascii="Times New Roman" w:hAnsi="Times New Roman" w:cs="Times New Roman"/>
          <w:sz w:val="24"/>
          <w:szCs w:val="24"/>
        </w:rPr>
        <w:t>ocztylion</w:t>
      </w:r>
      <w:r w:rsidRPr="00F54501">
        <w:rPr>
          <w:rFonts w:ascii="Times New Roman" w:hAnsi="Times New Roman" w:cs="Times New Roman"/>
          <w:sz w:val="24"/>
          <w:szCs w:val="24"/>
        </w:rPr>
        <w:t>-Arka Powszechne Towarzystwo Emerytalne SA,</w:t>
      </w:r>
      <w:r w:rsidR="007914C2" w:rsidRPr="00F54501">
        <w:rPr>
          <w:rFonts w:ascii="Times New Roman" w:hAnsi="Times New Roman" w:cs="Times New Roman"/>
          <w:sz w:val="24"/>
          <w:szCs w:val="24"/>
        </w:rPr>
        <w:t xml:space="preserve"> ul. Inflancka 4, 00-189 Warszawa</w:t>
      </w:r>
      <w:r w:rsidR="00F54501" w:rsidRPr="00F54501">
        <w:rPr>
          <w:rFonts w:ascii="Times New Roman" w:hAnsi="Times New Roman" w:cs="Times New Roman"/>
          <w:sz w:val="24"/>
          <w:szCs w:val="24"/>
        </w:rPr>
        <w:t>,</w:t>
      </w:r>
    </w:p>
    <w:p w:rsidR="007630B1" w:rsidRPr="00F54501" w:rsidRDefault="00100B70" w:rsidP="00763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>AXA Towarzystwo Funduszy Inwestycyjnych SA, ul. Chłodna 51, 00-867 Warszawa.</w:t>
      </w:r>
    </w:p>
    <w:p w:rsidR="008C52D1" w:rsidRPr="00F54501" w:rsidRDefault="00864804" w:rsidP="008C52D1">
      <w:p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 xml:space="preserve">II. </w:t>
      </w:r>
      <w:r w:rsidR="00FA0A9A" w:rsidRPr="00F54501">
        <w:rPr>
          <w:rFonts w:ascii="Times New Roman" w:hAnsi="Times New Roman" w:cs="Times New Roman"/>
          <w:sz w:val="24"/>
          <w:szCs w:val="24"/>
        </w:rPr>
        <w:t>W</w:t>
      </w:r>
      <w:r w:rsidR="008C52D1" w:rsidRPr="00F54501">
        <w:rPr>
          <w:rFonts w:ascii="Times New Roman" w:hAnsi="Times New Roman" w:cs="Times New Roman"/>
          <w:sz w:val="24"/>
          <w:szCs w:val="24"/>
        </w:rPr>
        <w:t xml:space="preserve"> odpowiedzi</w:t>
      </w:r>
      <w:r w:rsidR="00FA0A9A" w:rsidRPr="00F54501">
        <w:rPr>
          <w:rFonts w:ascii="Times New Roman" w:hAnsi="Times New Roman" w:cs="Times New Roman"/>
          <w:sz w:val="24"/>
          <w:szCs w:val="24"/>
        </w:rPr>
        <w:t xml:space="preserve"> na zapytanie ofertowe</w:t>
      </w:r>
      <w:r w:rsidR="008C52D1" w:rsidRPr="00F54501">
        <w:rPr>
          <w:rFonts w:ascii="Times New Roman" w:hAnsi="Times New Roman" w:cs="Times New Roman"/>
          <w:sz w:val="24"/>
          <w:szCs w:val="24"/>
        </w:rPr>
        <w:t xml:space="preserve"> wpłynęło </w:t>
      </w:r>
      <w:r w:rsidR="00100B70" w:rsidRPr="00F54501">
        <w:rPr>
          <w:rFonts w:ascii="Times New Roman" w:hAnsi="Times New Roman" w:cs="Times New Roman"/>
          <w:sz w:val="24"/>
          <w:szCs w:val="24"/>
        </w:rPr>
        <w:t>4</w:t>
      </w:r>
      <w:r w:rsidR="00DB4F0B" w:rsidRPr="00F54501">
        <w:rPr>
          <w:rFonts w:ascii="Times New Roman" w:hAnsi="Times New Roman" w:cs="Times New Roman"/>
          <w:sz w:val="24"/>
          <w:szCs w:val="24"/>
        </w:rPr>
        <w:t xml:space="preserve"> poniższe</w:t>
      </w:r>
      <w:r w:rsidR="008C52D1" w:rsidRPr="00F54501">
        <w:rPr>
          <w:rFonts w:ascii="Times New Roman" w:hAnsi="Times New Roman" w:cs="Times New Roman"/>
          <w:sz w:val="24"/>
          <w:szCs w:val="24"/>
        </w:rPr>
        <w:t xml:space="preserve"> oferty tj.:</w:t>
      </w:r>
    </w:p>
    <w:p w:rsidR="00100B70" w:rsidRPr="00F54501" w:rsidRDefault="00100B70" w:rsidP="00100B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>Pekao Towarzystwo Funduszy Inwestycyjnych SA, Marynarska 15, 02-674 Warszawa</w:t>
      </w:r>
      <w:r w:rsidR="00F54501" w:rsidRPr="00F54501">
        <w:rPr>
          <w:rFonts w:ascii="Times New Roman" w:hAnsi="Times New Roman" w:cs="Times New Roman"/>
          <w:sz w:val="24"/>
          <w:szCs w:val="24"/>
        </w:rPr>
        <w:t>,</w:t>
      </w:r>
    </w:p>
    <w:p w:rsidR="00E74238" w:rsidRPr="00F54501" w:rsidRDefault="00E74238" w:rsidP="00E742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>Pekao Towarzystwo Funduszy Inwestycyjnych SA, Marynarska 15, 02-674 Warszawa</w:t>
      </w:r>
      <w:r w:rsidR="00F54501" w:rsidRPr="00F54501">
        <w:rPr>
          <w:rFonts w:ascii="Times New Roman" w:hAnsi="Times New Roman" w:cs="Times New Roman"/>
          <w:sz w:val="24"/>
          <w:szCs w:val="24"/>
        </w:rPr>
        <w:t>,</w:t>
      </w:r>
    </w:p>
    <w:p w:rsidR="00100B70" w:rsidRPr="00F54501" w:rsidRDefault="00100B70" w:rsidP="00100B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>PKO Towarzystwo Funduszy Inwestycyjnych SA, ul. Chłodna 52, 00-872 Warszawa</w:t>
      </w:r>
      <w:r w:rsidR="00F54501" w:rsidRPr="00F54501">
        <w:rPr>
          <w:rFonts w:ascii="Times New Roman" w:hAnsi="Times New Roman" w:cs="Times New Roman"/>
          <w:sz w:val="24"/>
          <w:szCs w:val="24"/>
        </w:rPr>
        <w:t>,</w:t>
      </w:r>
    </w:p>
    <w:p w:rsidR="00100B70" w:rsidRPr="00F54501" w:rsidRDefault="00E74238" w:rsidP="00100B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>Pocztylion-Arka Powszechne Towarzystwo Emerytalne SA</w:t>
      </w:r>
      <w:r w:rsidR="00100B70" w:rsidRPr="00F54501">
        <w:rPr>
          <w:rFonts w:ascii="Times New Roman" w:hAnsi="Times New Roman" w:cs="Times New Roman"/>
          <w:sz w:val="24"/>
          <w:szCs w:val="24"/>
        </w:rPr>
        <w:t>, ul. Inflancka 4, 00-189 Warszawa</w:t>
      </w:r>
      <w:r w:rsidR="00F54501" w:rsidRPr="00F54501">
        <w:rPr>
          <w:rFonts w:ascii="Times New Roman" w:hAnsi="Times New Roman" w:cs="Times New Roman"/>
          <w:sz w:val="24"/>
          <w:szCs w:val="24"/>
        </w:rPr>
        <w:t>.</w:t>
      </w:r>
    </w:p>
    <w:p w:rsidR="00E74238" w:rsidRPr="00F54501" w:rsidRDefault="00864804" w:rsidP="00E74238">
      <w:p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="008C52D1" w:rsidRPr="00F5450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54BE7" w:rsidRPr="00F54501">
        <w:rPr>
          <w:rFonts w:ascii="Times New Roman" w:hAnsi="Times New Roman" w:cs="Times New Roman"/>
          <w:color w:val="000000"/>
          <w:sz w:val="24"/>
          <w:szCs w:val="24"/>
        </w:rPr>
        <w:t>omisja</w:t>
      </w:r>
      <w:r w:rsidR="0099058B"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 przetargowa</w:t>
      </w:r>
      <w:r w:rsidR="00154BE7"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8B"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na podstawie złożonych ofert </w:t>
      </w:r>
      <w:r w:rsidR="00154BE7" w:rsidRPr="00F54501">
        <w:rPr>
          <w:rFonts w:ascii="Times New Roman" w:hAnsi="Times New Roman" w:cs="Times New Roman"/>
          <w:color w:val="000000"/>
          <w:sz w:val="24"/>
          <w:szCs w:val="24"/>
        </w:rPr>
        <w:t>dokonała</w:t>
      </w:r>
      <w:r w:rsidR="00DB4F0B"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 wstępnej </w:t>
      </w:r>
      <w:r w:rsidR="00154BE7"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weryfikacji </w:t>
      </w:r>
      <w:r w:rsidR="00DB4F0B"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3A2"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4F0B"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74238"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54BE7"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8C52D1" w:rsidRPr="00F54501">
        <w:rPr>
          <w:rFonts w:ascii="Times New Roman" w:hAnsi="Times New Roman" w:cs="Times New Roman"/>
          <w:color w:val="000000"/>
          <w:sz w:val="24"/>
          <w:szCs w:val="24"/>
        </w:rPr>
        <w:t xml:space="preserve"> odrzuciła </w:t>
      </w:r>
      <w:r w:rsidR="008C52D1" w:rsidRPr="00F5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ofertę nr </w:t>
      </w:r>
      <w:r w:rsidR="00E74238" w:rsidRPr="00F5450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A03A2" w:rsidRPr="00F5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7D3A" w:rsidRPr="00F5450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E74238" w:rsidRPr="00F5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4238" w:rsidRPr="00F54501">
        <w:rPr>
          <w:rFonts w:ascii="Times New Roman" w:hAnsi="Times New Roman" w:cs="Times New Roman"/>
          <w:sz w:val="24"/>
          <w:szCs w:val="24"/>
        </w:rPr>
        <w:t xml:space="preserve">Pekao Towarzystwo Funduszy Inwestycyjnych SA, Marynarska 15, 02-674 Warszawa oraz </w:t>
      </w:r>
      <w:r w:rsidR="00E74238" w:rsidRPr="00F54501">
        <w:rPr>
          <w:rFonts w:ascii="Times New Roman" w:hAnsi="Times New Roman" w:cs="Times New Roman"/>
          <w:b/>
          <w:sz w:val="24"/>
          <w:szCs w:val="24"/>
        </w:rPr>
        <w:t>ofertę nr 3</w:t>
      </w:r>
      <w:r w:rsidR="00E74238" w:rsidRPr="00F54501">
        <w:rPr>
          <w:rFonts w:ascii="Times New Roman" w:hAnsi="Times New Roman" w:cs="Times New Roman"/>
          <w:sz w:val="24"/>
          <w:szCs w:val="24"/>
        </w:rPr>
        <w:t xml:space="preserve"> - PKO Towarzystwo Funduszy Inwestycyjnych SA, ul. Chłodna 52, 00-872 Warszawa</w:t>
      </w:r>
      <w:r w:rsidRPr="00F54501">
        <w:rPr>
          <w:rFonts w:ascii="Times New Roman" w:hAnsi="Times New Roman" w:cs="Times New Roman"/>
          <w:sz w:val="24"/>
          <w:szCs w:val="24"/>
        </w:rPr>
        <w:t>.</w:t>
      </w:r>
    </w:p>
    <w:p w:rsidR="00864804" w:rsidRPr="00F54501" w:rsidRDefault="00864804" w:rsidP="008F41D0">
      <w:p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sz w:val="24"/>
          <w:szCs w:val="24"/>
        </w:rPr>
        <w:t xml:space="preserve">IV. </w:t>
      </w:r>
      <w:r w:rsidR="00E74238" w:rsidRPr="00F54501">
        <w:rPr>
          <w:rFonts w:ascii="Times New Roman" w:hAnsi="Times New Roman" w:cs="Times New Roman"/>
          <w:sz w:val="24"/>
          <w:szCs w:val="24"/>
        </w:rPr>
        <w:t>Komisja wyjaśnia, iż</w:t>
      </w:r>
      <w:r w:rsidRPr="00F54501">
        <w:rPr>
          <w:rFonts w:ascii="Times New Roman" w:hAnsi="Times New Roman" w:cs="Times New Roman"/>
          <w:sz w:val="24"/>
          <w:szCs w:val="24"/>
        </w:rPr>
        <w:t xml:space="preserve"> powyższe oferty zostały odrzucone z następujących powodów:</w:t>
      </w:r>
      <w:r w:rsidR="00E74238" w:rsidRPr="00F5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04" w:rsidRPr="00F54501" w:rsidRDefault="00864804" w:rsidP="008F41D0">
      <w:p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b/>
          <w:color w:val="000000"/>
          <w:sz w:val="24"/>
          <w:szCs w:val="24"/>
        </w:rPr>
        <w:t>- O</w:t>
      </w:r>
      <w:r w:rsidR="00E74238" w:rsidRPr="00F5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ferta nr 2 </w:t>
      </w:r>
      <w:r w:rsidR="00593FD9" w:rsidRPr="00F545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74238" w:rsidRPr="00F5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4238" w:rsidRPr="00F54501">
        <w:rPr>
          <w:rFonts w:ascii="Times New Roman" w:hAnsi="Times New Roman" w:cs="Times New Roman"/>
          <w:sz w:val="24"/>
          <w:szCs w:val="24"/>
        </w:rPr>
        <w:t>Pekao Towarzystwo Funduszy Inwestycyjnych SA, Marynarska 15, 02-674 Warszawa nie spełniała</w:t>
      </w:r>
      <w:r w:rsidR="008F41D0" w:rsidRPr="00F54501">
        <w:rPr>
          <w:rFonts w:ascii="Times New Roman" w:hAnsi="Times New Roman" w:cs="Times New Roman"/>
          <w:sz w:val="24"/>
          <w:szCs w:val="24"/>
        </w:rPr>
        <w:t xml:space="preserve"> warunków postępowania tzn. Wykonawca nie dołączył do oferty załącznika nr 2, tj. oświadczenia dot. spełnienia warunków udziału w postępowaniu</w:t>
      </w:r>
      <w:r w:rsidRPr="00F54501">
        <w:rPr>
          <w:rFonts w:ascii="Times New Roman" w:hAnsi="Times New Roman" w:cs="Times New Roman"/>
          <w:sz w:val="24"/>
          <w:szCs w:val="24"/>
        </w:rPr>
        <w:t xml:space="preserve"> i złożył dwie oferty w postępowaniu</w:t>
      </w:r>
      <w:r w:rsidR="008F41D0" w:rsidRPr="00F545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1D0" w:rsidRPr="00F54501" w:rsidRDefault="00864804" w:rsidP="008F41D0">
      <w:pPr>
        <w:jc w:val="both"/>
        <w:rPr>
          <w:rFonts w:ascii="Times New Roman" w:hAnsi="Times New Roman" w:cs="Times New Roman"/>
          <w:sz w:val="24"/>
          <w:szCs w:val="24"/>
        </w:rPr>
      </w:pPr>
      <w:r w:rsidRPr="00F54501">
        <w:rPr>
          <w:rFonts w:ascii="Times New Roman" w:hAnsi="Times New Roman" w:cs="Times New Roman"/>
          <w:b/>
          <w:sz w:val="24"/>
          <w:szCs w:val="24"/>
        </w:rPr>
        <w:lastRenderedPageBreak/>
        <w:t>- O</w:t>
      </w:r>
      <w:r w:rsidR="008F41D0" w:rsidRPr="00F54501">
        <w:rPr>
          <w:rFonts w:ascii="Times New Roman" w:hAnsi="Times New Roman" w:cs="Times New Roman"/>
          <w:b/>
          <w:sz w:val="24"/>
          <w:szCs w:val="24"/>
        </w:rPr>
        <w:t>ferta nr 3</w:t>
      </w:r>
      <w:r w:rsidR="00593FD9" w:rsidRPr="00F54501">
        <w:rPr>
          <w:rFonts w:ascii="Times New Roman" w:hAnsi="Times New Roman" w:cs="Times New Roman"/>
          <w:b/>
          <w:sz w:val="24"/>
          <w:szCs w:val="24"/>
        </w:rPr>
        <w:t>:</w:t>
      </w:r>
      <w:r w:rsidR="008F41D0" w:rsidRPr="00F54501">
        <w:rPr>
          <w:rFonts w:ascii="Times New Roman" w:hAnsi="Times New Roman" w:cs="Times New Roman"/>
          <w:sz w:val="24"/>
          <w:szCs w:val="24"/>
        </w:rPr>
        <w:t xml:space="preserve"> PKO Towarzystwo Funduszy Inwestycyjnych SA, ul. Chłodna 52, 00-872 Warszawa</w:t>
      </w:r>
      <w:r w:rsidR="00593FD9" w:rsidRPr="00F54501">
        <w:rPr>
          <w:rFonts w:ascii="Times New Roman" w:hAnsi="Times New Roman" w:cs="Times New Roman"/>
          <w:sz w:val="24"/>
          <w:szCs w:val="24"/>
        </w:rPr>
        <w:t xml:space="preserve"> -</w:t>
      </w:r>
      <w:r w:rsidR="008F41D0" w:rsidRPr="00F54501">
        <w:rPr>
          <w:rFonts w:ascii="Times New Roman" w:hAnsi="Times New Roman" w:cs="Times New Roman"/>
          <w:sz w:val="24"/>
          <w:szCs w:val="24"/>
        </w:rPr>
        <w:t xml:space="preserve"> treść </w:t>
      </w:r>
      <w:r w:rsidR="00593FD9" w:rsidRPr="00F54501">
        <w:rPr>
          <w:rFonts w:ascii="Times New Roman" w:hAnsi="Times New Roman" w:cs="Times New Roman"/>
          <w:sz w:val="24"/>
          <w:szCs w:val="24"/>
        </w:rPr>
        <w:t xml:space="preserve">złożonej </w:t>
      </w:r>
      <w:r w:rsidR="008F41D0" w:rsidRPr="00F54501">
        <w:rPr>
          <w:rFonts w:ascii="Times New Roman" w:hAnsi="Times New Roman" w:cs="Times New Roman"/>
          <w:sz w:val="24"/>
          <w:szCs w:val="24"/>
        </w:rPr>
        <w:t>oferty nie odpowiada treści zapytania tzn. Wykonawca nie sprecyzował jasno wysokości stałego wynagrodzenia za zarządzanie PPK oraz wysokości wynagrodzenia zmiennego za osiągni</w:t>
      </w:r>
      <w:r w:rsidRPr="00F54501">
        <w:rPr>
          <w:rFonts w:ascii="Times New Roman" w:hAnsi="Times New Roman" w:cs="Times New Roman"/>
          <w:sz w:val="24"/>
          <w:szCs w:val="24"/>
        </w:rPr>
        <w:t>ę</w:t>
      </w:r>
      <w:r w:rsidR="008F41D0" w:rsidRPr="00F54501">
        <w:rPr>
          <w:rFonts w:ascii="Times New Roman" w:hAnsi="Times New Roman" w:cs="Times New Roman"/>
          <w:sz w:val="24"/>
          <w:szCs w:val="24"/>
        </w:rPr>
        <w:t>ty wynik, co uniemożliwiło</w:t>
      </w:r>
      <w:r w:rsidRPr="00F54501">
        <w:rPr>
          <w:rFonts w:ascii="Times New Roman" w:hAnsi="Times New Roman" w:cs="Times New Roman"/>
          <w:sz w:val="24"/>
          <w:szCs w:val="24"/>
        </w:rPr>
        <w:t xml:space="preserve"> komisji przeliczenie wartości punktowej. Treść formularza ofertowego wskazywała jasno, iż należy wpisać  jedną konkretną wartość w poszczególnych kryteriach oceny ofert. </w:t>
      </w:r>
      <w:r w:rsidR="008F41D0" w:rsidRPr="00F545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03A2" w:rsidRPr="00F54501" w:rsidRDefault="000A03A2" w:rsidP="000A03A2">
      <w:pPr>
        <w:pStyle w:val="NormalnyWeb"/>
        <w:spacing w:after="0" w:afterAutospacing="0"/>
        <w:jc w:val="both"/>
        <w:rPr>
          <w:color w:val="000000"/>
          <w:sz w:val="24"/>
          <w:szCs w:val="24"/>
        </w:rPr>
      </w:pPr>
    </w:p>
    <w:p w:rsidR="00653E8F" w:rsidRPr="00F54501" w:rsidRDefault="00593FD9" w:rsidP="00653E8F">
      <w:pPr>
        <w:pStyle w:val="NormalnyWeb"/>
        <w:spacing w:after="0" w:afterAutospacing="0"/>
        <w:jc w:val="both"/>
        <w:rPr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 xml:space="preserve">V. </w:t>
      </w:r>
      <w:r w:rsidR="000A03A2" w:rsidRPr="00F54501">
        <w:rPr>
          <w:color w:val="000000"/>
          <w:sz w:val="24"/>
          <w:szCs w:val="24"/>
        </w:rPr>
        <w:t>K</w:t>
      </w:r>
      <w:r w:rsidR="00857D3A" w:rsidRPr="00F54501">
        <w:rPr>
          <w:color w:val="000000"/>
          <w:sz w:val="24"/>
          <w:szCs w:val="24"/>
        </w:rPr>
        <w:t xml:space="preserve">omisja </w:t>
      </w:r>
      <w:r w:rsidR="000A03A2" w:rsidRPr="00F54501">
        <w:rPr>
          <w:color w:val="000000"/>
          <w:sz w:val="24"/>
          <w:szCs w:val="24"/>
        </w:rPr>
        <w:t xml:space="preserve">po dokonaniu oceny pozostałych </w:t>
      </w:r>
      <w:r w:rsidR="00653E8F" w:rsidRPr="00F54501">
        <w:rPr>
          <w:color w:val="000000"/>
          <w:sz w:val="24"/>
          <w:szCs w:val="24"/>
        </w:rPr>
        <w:t xml:space="preserve">ważnych </w:t>
      </w:r>
      <w:r w:rsidR="000A03A2" w:rsidRPr="00F54501">
        <w:rPr>
          <w:color w:val="000000"/>
          <w:sz w:val="24"/>
          <w:szCs w:val="24"/>
        </w:rPr>
        <w:t xml:space="preserve">ofert uznała za najkorzystniejszą </w:t>
      </w:r>
      <w:r w:rsidR="00857D3A" w:rsidRPr="00F54501">
        <w:rPr>
          <w:b/>
          <w:color w:val="000000"/>
          <w:sz w:val="24"/>
          <w:szCs w:val="24"/>
        </w:rPr>
        <w:t>ofert</w:t>
      </w:r>
      <w:r w:rsidR="0059407D" w:rsidRPr="00F54501">
        <w:rPr>
          <w:b/>
          <w:color w:val="000000"/>
          <w:sz w:val="24"/>
          <w:szCs w:val="24"/>
        </w:rPr>
        <w:t>ę</w:t>
      </w:r>
      <w:r w:rsidR="00857D3A" w:rsidRPr="00F54501">
        <w:rPr>
          <w:b/>
          <w:color w:val="000000"/>
          <w:sz w:val="24"/>
          <w:szCs w:val="24"/>
        </w:rPr>
        <w:t xml:space="preserve"> nr </w:t>
      </w:r>
      <w:r w:rsidRPr="00F54501">
        <w:rPr>
          <w:b/>
          <w:color w:val="000000"/>
          <w:sz w:val="24"/>
          <w:szCs w:val="24"/>
        </w:rPr>
        <w:t>1</w:t>
      </w:r>
      <w:r w:rsidR="00857D3A" w:rsidRPr="00F54501">
        <w:rPr>
          <w:b/>
          <w:color w:val="000000"/>
          <w:sz w:val="24"/>
          <w:szCs w:val="24"/>
        </w:rPr>
        <w:t xml:space="preserve"> -</w:t>
      </w:r>
      <w:r w:rsidRPr="00F54501">
        <w:rPr>
          <w:sz w:val="24"/>
          <w:szCs w:val="24"/>
        </w:rPr>
        <w:t xml:space="preserve"> Pekao Towarzystwo Funduszy Inwestycyjnych SA, Marynarska 15, 02-674 Warszawa, która</w:t>
      </w:r>
      <w:r w:rsidR="00653E8F" w:rsidRPr="00F54501">
        <w:rPr>
          <w:color w:val="000000"/>
          <w:sz w:val="24"/>
          <w:szCs w:val="24"/>
        </w:rPr>
        <w:t xml:space="preserve"> spełnia wymagania określone</w:t>
      </w:r>
      <w:r w:rsidRPr="00F54501">
        <w:rPr>
          <w:color w:val="000000"/>
          <w:sz w:val="24"/>
          <w:szCs w:val="24"/>
        </w:rPr>
        <w:t xml:space="preserve"> </w:t>
      </w:r>
      <w:r w:rsidR="00653E8F" w:rsidRPr="00F54501">
        <w:rPr>
          <w:color w:val="000000"/>
          <w:sz w:val="24"/>
          <w:szCs w:val="24"/>
        </w:rPr>
        <w:t xml:space="preserve"> w zapytaniu ofertowym, została oceniona jako najkorzystniejsza i uzyskała najwyższą liczbę punktów </w:t>
      </w:r>
      <w:r w:rsidRPr="00F54501">
        <w:rPr>
          <w:color w:val="000000"/>
          <w:sz w:val="24"/>
          <w:szCs w:val="24"/>
        </w:rPr>
        <w:t xml:space="preserve">                         </w:t>
      </w:r>
      <w:r w:rsidR="00653E8F" w:rsidRPr="00F54501">
        <w:rPr>
          <w:color w:val="000000"/>
          <w:sz w:val="24"/>
          <w:szCs w:val="24"/>
        </w:rPr>
        <w:t>w poszczególnych kryteriach</w:t>
      </w:r>
      <w:r w:rsidRPr="00F54501">
        <w:rPr>
          <w:color w:val="000000"/>
          <w:sz w:val="24"/>
          <w:szCs w:val="24"/>
        </w:rPr>
        <w:t xml:space="preserve"> oceny</w:t>
      </w:r>
      <w:r w:rsidR="00653E8F" w:rsidRPr="00F54501">
        <w:rPr>
          <w:color w:val="000000"/>
          <w:sz w:val="24"/>
          <w:szCs w:val="24"/>
        </w:rPr>
        <w:t>:</w:t>
      </w:r>
    </w:p>
    <w:p w:rsidR="00154BE7" w:rsidRPr="00F54501" w:rsidRDefault="00154BE7" w:rsidP="00154BE7">
      <w:pPr>
        <w:pStyle w:val="NormalnyWeb"/>
        <w:spacing w:after="0" w:afterAutospacing="0"/>
        <w:ind w:firstLine="708"/>
        <w:jc w:val="both"/>
        <w:rPr>
          <w:rStyle w:val="Pogrubienie"/>
          <w:color w:val="000000"/>
          <w:sz w:val="24"/>
          <w:szCs w:val="24"/>
        </w:rPr>
      </w:pPr>
    </w:p>
    <w:p w:rsidR="00154BE7" w:rsidRPr="00F54501" w:rsidRDefault="00154BE7" w:rsidP="00154BE7">
      <w:pPr>
        <w:pStyle w:val="NormalnyWeb"/>
        <w:numPr>
          <w:ilvl w:val="0"/>
          <w:numId w:val="1"/>
        </w:numPr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b/>
          <w:color w:val="000000"/>
          <w:sz w:val="24"/>
          <w:szCs w:val="24"/>
        </w:rPr>
        <w:t>Oferta nr 1.</w:t>
      </w:r>
    </w:p>
    <w:p w:rsidR="00593FD9" w:rsidRPr="00F54501" w:rsidRDefault="00593FD9" w:rsidP="00154BE7">
      <w:pPr>
        <w:pStyle w:val="NormalnyWeb"/>
        <w:spacing w:after="0" w:afterAutospacing="0"/>
        <w:rPr>
          <w:color w:val="000000"/>
          <w:sz w:val="24"/>
          <w:szCs w:val="24"/>
        </w:rPr>
      </w:pPr>
    </w:p>
    <w:p w:rsidR="00593FD9" w:rsidRPr="00F54501" w:rsidRDefault="007468B3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b/>
          <w:sz w:val="24"/>
          <w:szCs w:val="24"/>
        </w:rPr>
        <w:t>Pekao Towarzystwo Funduszy Inwestycyjnych SA, Marynarska 15, 02-674 Warszawa</w:t>
      </w:r>
    </w:p>
    <w:p w:rsidR="0059407D" w:rsidRPr="00F54501" w:rsidRDefault="00154BE7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b/>
          <w:color w:val="000000"/>
          <w:sz w:val="24"/>
          <w:szCs w:val="24"/>
        </w:rPr>
        <w:t xml:space="preserve">Kryterium oceny ofert: </w:t>
      </w:r>
    </w:p>
    <w:p w:rsidR="00154BE7" w:rsidRPr="00F54501" w:rsidRDefault="00F54501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 xml:space="preserve">1). </w:t>
      </w:r>
      <w:r w:rsidR="007468B3" w:rsidRPr="00F54501">
        <w:rPr>
          <w:color w:val="000000"/>
          <w:sz w:val="24"/>
          <w:szCs w:val="24"/>
        </w:rPr>
        <w:t>Wynagrodzenie stałe za zarządzanie PPK w wysokości</w:t>
      </w:r>
      <w:r w:rsidR="007468B3" w:rsidRPr="00F54501">
        <w:rPr>
          <w:b/>
          <w:color w:val="000000"/>
          <w:sz w:val="24"/>
          <w:szCs w:val="24"/>
        </w:rPr>
        <w:t>: 0,31%</w:t>
      </w:r>
    </w:p>
    <w:p w:rsidR="0059407D" w:rsidRPr="00F54501" w:rsidRDefault="00F54501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 xml:space="preserve">2). </w:t>
      </w:r>
      <w:r w:rsidR="007468B3" w:rsidRPr="00F54501">
        <w:rPr>
          <w:color w:val="000000"/>
          <w:sz w:val="24"/>
          <w:szCs w:val="24"/>
        </w:rPr>
        <w:t>Wynagrodzenie zmienne za osiągnięty wynik w wysokości:</w:t>
      </w:r>
      <w:r w:rsidR="007468B3" w:rsidRPr="00F54501">
        <w:rPr>
          <w:b/>
          <w:color w:val="000000"/>
          <w:sz w:val="24"/>
          <w:szCs w:val="24"/>
        </w:rPr>
        <w:t xml:space="preserve"> 0,048%</w:t>
      </w:r>
    </w:p>
    <w:p w:rsidR="007468B3" w:rsidRPr="00F54501" w:rsidRDefault="00F54501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 xml:space="preserve">3). </w:t>
      </w:r>
      <w:r w:rsidR="007468B3" w:rsidRPr="00F54501">
        <w:rPr>
          <w:color w:val="000000"/>
          <w:sz w:val="24"/>
          <w:szCs w:val="24"/>
        </w:rPr>
        <w:t>Doświadczenie na polskim rynku w zakresie zarządzania funduszami inwestycyjnymi wynosi:</w:t>
      </w:r>
      <w:r w:rsidR="007468B3" w:rsidRPr="00F54501">
        <w:rPr>
          <w:b/>
          <w:color w:val="000000"/>
          <w:sz w:val="24"/>
          <w:szCs w:val="24"/>
        </w:rPr>
        <w:t xml:space="preserve"> 29 lat</w:t>
      </w:r>
    </w:p>
    <w:p w:rsidR="007468B3" w:rsidRPr="00F54501" w:rsidRDefault="00F54501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 xml:space="preserve">4). </w:t>
      </w:r>
      <w:r w:rsidR="007468B3" w:rsidRPr="00F54501">
        <w:rPr>
          <w:color w:val="000000"/>
          <w:sz w:val="24"/>
          <w:szCs w:val="24"/>
        </w:rPr>
        <w:t>Doświadczenie na polskim rynku w zakresie zarządzania funduszami emerytalnymi wynosi</w:t>
      </w:r>
      <w:r w:rsidR="007468B3" w:rsidRPr="00F54501">
        <w:rPr>
          <w:b/>
          <w:color w:val="000000"/>
          <w:sz w:val="24"/>
          <w:szCs w:val="24"/>
        </w:rPr>
        <w:t>: 21 lat</w:t>
      </w:r>
    </w:p>
    <w:p w:rsidR="002864C0" w:rsidRPr="00F54501" w:rsidRDefault="00154BE7" w:rsidP="00154BE7">
      <w:pPr>
        <w:pStyle w:val="NormalnyWeb"/>
        <w:spacing w:after="0" w:afterAutospacing="0"/>
        <w:rPr>
          <w:color w:val="000000"/>
          <w:sz w:val="24"/>
          <w:szCs w:val="24"/>
        </w:rPr>
      </w:pPr>
      <w:r w:rsidRPr="00F54501">
        <w:rPr>
          <w:b/>
          <w:color w:val="000000"/>
          <w:sz w:val="24"/>
          <w:szCs w:val="24"/>
        </w:rPr>
        <w:t>Łączna ilość punktów:</w:t>
      </w:r>
      <w:r w:rsidRPr="00F54501">
        <w:rPr>
          <w:color w:val="000000"/>
          <w:sz w:val="24"/>
          <w:szCs w:val="24"/>
        </w:rPr>
        <w:t xml:space="preserve"> </w:t>
      </w:r>
    </w:p>
    <w:p w:rsidR="00154BE7" w:rsidRPr="00F54501" w:rsidRDefault="002864C0" w:rsidP="00154BE7">
      <w:pPr>
        <w:pStyle w:val="NormalnyWeb"/>
        <w:spacing w:after="0" w:afterAutospacing="0"/>
        <w:rPr>
          <w:color w:val="000000"/>
          <w:sz w:val="24"/>
          <w:szCs w:val="24"/>
        </w:rPr>
      </w:pPr>
      <w:proofErr w:type="spellStart"/>
      <w:r w:rsidRPr="00F54501">
        <w:rPr>
          <w:color w:val="000000"/>
          <w:sz w:val="24"/>
          <w:szCs w:val="24"/>
        </w:rPr>
        <w:t>C=WS+WZ+DI+DE</w:t>
      </w:r>
      <w:proofErr w:type="spellEnd"/>
    </w:p>
    <w:p w:rsidR="007468B3" w:rsidRPr="00F54501" w:rsidRDefault="002864C0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b/>
          <w:color w:val="000000"/>
          <w:sz w:val="24"/>
          <w:szCs w:val="24"/>
          <w:u w:val="single"/>
        </w:rPr>
        <w:t>100</w:t>
      </w:r>
      <w:r w:rsidR="007468B3" w:rsidRPr="00F54501">
        <w:rPr>
          <w:b/>
          <w:color w:val="000000"/>
          <w:sz w:val="24"/>
          <w:szCs w:val="24"/>
        </w:rPr>
        <w:t>=</w:t>
      </w:r>
      <w:r w:rsidRPr="00F54501">
        <w:rPr>
          <w:b/>
          <w:color w:val="000000"/>
          <w:sz w:val="24"/>
          <w:szCs w:val="24"/>
        </w:rPr>
        <w:t>60+30+5+5</w:t>
      </w:r>
    </w:p>
    <w:p w:rsidR="00154BE7" w:rsidRPr="00F54501" w:rsidRDefault="00154BE7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</w:p>
    <w:p w:rsidR="00154BE7" w:rsidRPr="00F54501" w:rsidRDefault="00154BE7" w:rsidP="00004FF2">
      <w:pPr>
        <w:pStyle w:val="NormalnyWeb"/>
        <w:numPr>
          <w:ilvl w:val="0"/>
          <w:numId w:val="1"/>
        </w:numPr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b/>
          <w:color w:val="000000"/>
          <w:sz w:val="24"/>
          <w:szCs w:val="24"/>
        </w:rPr>
        <w:t xml:space="preserve">Oferta nr </w:t>
      </w:r>
      <w:r w:rsidR="002864C0" w:rsidRPr="00F54501">
        <w:rPr>
          <w:b/>
          <w:color w:val="000000"/>
          <w:sz w:val="24"/>
          <w:szCs w:val="24"/>
        </w:rPr>
        <w:t>4</w:t>
      </w:r>
      <w:r w:rsidRPr="00F54501">
        <w:rPr>
          <w:b/>
          <w:color w:val="000000"/>
          <w:sz w:val="24"/>
          <w:szCs w:val="24"/>
        </w:rPr>
        <w:t>.</w:t>
      </w:r>
    </w:p>
    <w:p w:rsidR="002864C0" w:rsidRPr="00F54501" w:rsidRDefault="002864C0" w:rsidP="00286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01">
        <w:rPr>
          <w:rFonts w:ascii="Times New Roman" w:hAnsi="Times New Roman" w:cs="Times New Roman"/>
          <w:b/>
          <w:sz w:val="24"/>
          <w:szCs w:val="24"/>
        </w:rPr>
        <w:t>Pocztylion-Arka Powszechne Towarzystwo Emerytalne SA, ul. Inflancka 4, 00-189 Warszawa</w:t>
      </w:r>
    </w:p>
    <w:p w:rsidR="002864C0" w:rsidRPr="00F54501" w:rsidRDefault="002864C0" w:rsidP="002864C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Kryterium oceny ofert: </w:t>
      </w:r>
    </w:p>
    <w:p w:rsidR="002864C0" w:rsidRPr="00F54501" w:rsidRDefault="00F54501" w:rsidP="002864C0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 xml:space="preserve">1). </w:t>
      </w:r>
      <w:r w:rsidR="002864C0" w:rsidRPr="00F54501">
        <w:rPr>
          <w:color w:val="000000"/>
          <w:sz w:val="24"/>
          <w:szCs w:val="24"/>
        </w:rPr>
        <w:t>Wynagrodzenie stałe za zarządzanie PPK w wysokości</w:t>
      </w:r>
      <w:r w:rsidR="002864C0" w:rsidRPr="00F54501">
        <w:rPr>
          <w:b/>
          <w:color w:val="000000"/>
          <w:sz w:val="24"/>
          <w:szCs w:val="24"/>
        </w:rPr>
        <w:t>: 0,3</w:t>
      </w:r>
      <w:r w:rsidR="00F14EFF" w:rsidRPr="00F54501">
        <w:rPr>
          <w:b/>
          <w:color w:val="000000"/>
          <w:sz w:val="24"/>
          <w:szCs w:val="24"/>
        </w:rPr>
        <w:t>5</w:t>
      </w:r>
      <w:r w:rsidR="002864C0" w:rsidRPr="00F54501">
        <w:rPr>
          <w:b/>
          <w:color w:val="000000"/>
          <w:sz w:val="24"/>
          <w:szCs w:val="24"/>
        </w:rPr>
        <w:t>%</w:t>
      </w:r>
    </w:p>
    <w:p w:rsidR="002864C0" w:rsidRPr="00F54501" w:rsidRDefault="00F54501" w:rsidP="002864C0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 xml:space="preserve">2). </w:t>
      </w:r>
      <w:r w:rsidR="002864C0" w:rsidRPr="00F54501">
        <w:rPr>
          <w:color w:val="000000"/>
          <w:sz w:val="24"/>
          <w:szCs w:val="24"/>
        </w:rPr>
        <w:t>Wynagrodzenie zmienne za osiągnięty wynik w wysokości:</w:t>
      </w:r>
      <w:r w:rsidR="002864C0" w:rsidRPr="00F54501">
        <w:rPr>
          <w:b/>
          <w:color w:val="000000"/>
          <w:sz w:val="24"/>
          <w:szCs w:val="24"/>
        </w:rPr>
        <w:t xml:space="preserve"> 0,</w:t>
      </w:r>
      <w:r w:rsidR="00F14EFF" w:rsidRPr="00F54501">
        <w:rPr>
          <w:b/>
          <w:color w:val="000000"/>
          <w:sz w:val="24"/>
          <w:szCs w:val="24"/>
        </w:rPr>
        <w:t>10</w:t>
      </w:r>
      <w:r w:rsidR="002864C0" w:rsidRPr="00F54501">
        <w:rPr>
          <w:b/>
          <w:color w:val="000000"/>
          <w:sz w:val="24"/>
          <w:szCs w:val="24"/>
        </w:rPr>
        <w:t>%</w:t>
      </w:r>
    </w:p>
    <w:p w:rsidR="002864C0" w:rsidRPr="00F54501" w:rsidRDefault="00F54501" w:rsidP="002864C0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 xml:space="preserve">3). </w:t>
      </w:r>
      <w:r w:rsidR="002864C0" w:rsidRPr="00F54501">
        <w:rPr>
          <w:color w:val="000000"/>
          <w:sz w:val="24"/>
          <w:szCs w:val="24"/>
        </w:rPr>
        <w:t>Doświadczenie na polskim rynku w zakresie zarządzania funduszami inwestycyjnymi wynosi:</w:t>
      </w:r>
      <w:r w:rsidR="002864C0" w:rsidRPr="00F54501">
        <w:rPr>
          <w:b/>
          <w:color w:val="000000"/>
          <w:sz w:val="24"/>
          <w:szCs w:val="24"/>
        </w:rPr>
        <w:t xml:space="preserve"> </w:t>
      </w:r>
      <w:r w:rsidR="00F14EFF" w:rsidRPr="00F54501">
        <w:rPr>
          <w:b/>
          <w:color w:val="000000"/>
          <w:sz w:val="24"/>
          <w:szCs w:val="24"/>
        </w:rPr>
        <w:t>0</w:t>
      </w:r>
      <w:r w:rsidR="002864C0" w:rsidRPr="00F54501">
        <w:rPr>
          <w:b/>
          <w:color w:val="000000"/>
          <w:sz w:val="24"/>
          <w:szCs w:val="24"/>
        </w:rPr>
        <w:t xml:space="preserve"> lat</w:t>
      </w:r>
    </w:p>
    <w:p w:rsidR="002864C0" w:rsidRPr="00F54501" w:rsidRDefault="00F54501" w:rsidP="002864C0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 xml:space="preserve">4). </w:t>
      </w:r>
      <w:r w:rsidR="002864C0" w:rsidRPr="00F54501">
        <w:rPr>
          <w:color w:val="000000"/>
          <w:sz w:val="24"/>
          <w:szCs w:val="24"/>
        </w:rPr>
        <w:t>Doświadczenie na polskim rynku w zakresie zarządzania funduszami emerytalnymi wynosi</w:t>
      </w:r>
      <w:r w:rsidR="002864C0" w:rsidRPr="00F54501">
        <w:rPr>
          <w:b/>
          <w:color w:val="000000"/>
          <w:sz w:val="24"/>
          <w:szCs w:val="24"/>
        </w:rPr>
        <w:t>: 2</w:t>
      </w:r>
      <w:r w:rsidR="00F14EFF" w:rsidRPr="00F54501">
        <w:rPr>
          <w:b/>
          <w:color w:val="000000"/>
          <w:sz w:val="24"/>
          <w:szCs w:val="24"/>
        </w:rPr>
        <w:t>2</w:t>
      </w:r>
      <w:r w:rsidR="002864C0" w:rsidRPr="00F54501">
        <w:rPr>
          <w:b/>
          <w:color w:val="000000"/>
          <w:sz w:val="24"/>
          <w:szCs w:val="24"/>
        </w:rPr>
        <w:t xml:space="preserve"> lat</w:t>
      </w:r>
    </w:p>
    <w:p w:rsidR="002864C0" w:rsidRPr="00F54501" w:rsidRDefault="002864C0" w:rsidP="002864C0">
      <w:pPr>
        <w:pStyle w:val="NormalnyWeb"/>
        <w:spacing w:after="0" w:afterAutospacing="0"/>
        <w:rPr>
          <w:color w:val="000000"/>
          <w:sz w:val="24"/>
          <w:szCs w:val="24"/>
        </w:rPr>
      </w:pPr>
      <w:r w:rsidRPr="00F54501">
        <w:rPr>
          <w:b/>
          <w:color w:val="000000"/>
          <w:sz w:val="24"/>
          <w:szCs w:val="24"/>
        </w:rPr>
        <w:t>Łączna ilość punktów:</w:t>
      </w:r>
      <w:r w:rsidRPr="00F54501">
        <w:rPr>
          <w:color w:val="000000"/>
          <w:sz w:val="24"/>
          <w:szCs w:val="24"/>
        </w:rPr>
        <w:t xml:space="preserve"> </w:t>
      </w:r>
    </w:p>
    <w:p w:rsidR="002864C0" w:rsidRPr="00F54501" w:rsidRDefault="002864C0" w:rsidP="002864C0">
      <w:pPr>
        <w:pStyle w:val="NormalnyWeb"/>
        <w:spacing w:after="0" w:afterAutospacing="0"/>
        <w:rPr>
          <w:color w:val="000000"/>
          <w:sz w:val="24"/>
          <w:szCs w:val="24"/>
        </w:rPr>
      </w:pPr>
      <w:proofErr w:type="spellStart"/>
      <w:r w:rsidRPr="00F54501">
        <w:rPr>
          <w:color w:val="000000"/>
          <w:sz w:val="24"/>
          <w:szCs w:val="24"/>
        </w:rPr>
        <w:t>C=WS+WZ+DI+DE</w:t>
      </w:r>
      <w:proofErr w:type="spellEnd"/>
    </w:p>
    <w:p w:rsidR="002864C0" w:rsidRPr="00F54501" w:rsidRDefault="00F14EFF" w:rsidP="002864C0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54501">
        <w:rPr>
          <w:b/>
          <w:color w:val="000000"/>
          <w:sz w:val="24"/>
          <w:szCs w:val="24"/>
          <w:u w:val="single"/>
        </w:rPr>
        <w:t>72,54</w:t>
      </w:r>
      <w:r w:rsidR="002864C0" w:rsidRPr="00F54501">
        <w:rPr>
          <w:b/>
          <w:color w:val="000000"/>
          <w:sz w:val="24"/>
          <w:szCs w:val="24"/>
        </w:rPr>
        <w:t>=</w:t>
      </w:r>
      <w:r w:rsidRPr="00F54501">
        <w:rPr>
          <w:b/>
          <w:color w:val="000000"/>
          <w:sz w:val="24"/>
          <w:szCs w:val="24"/>
        </w:rPr>
        <w:t>53,14</w:t>
      </w:r>
      <w:r w:rsidR="002864C0" w:rsidRPr="00F54501">
        <w:rPr>
          <w:b/>
          <w:color w:val="000000"/>
          <w:sz w:val="24"/>
          <w:szCs w:val="24"/>
        </w:rPr>
        <w:t>+</w:t>
      </w:r>
      <w:r w:rsidRPr="00F54501">
        <w:rPr>
          <w:b/>
          <w:color w:val="000000"/>
          <w:sz w:val="24"/>
          <w:szCs w:val="24"/>
        </w:rPr>
        <w:t>14,4</w:t>
      </w:r>
      <w:r w:rsidR="002864C0" w:rsidRPr="00F54501">
        <w:rPr>
          <w:b/>
          <w:color w:val="000000"/>
          <w:sz w:val="24"/>
          <w:szCs w:val="24"/>
        </w:rPr>
        <w:t>+</w:t>
      </w:r>
      <w:r w:rsidRPr="00F54501">
        <w:rPr>
          <w:b/>
          <w:color w:val="000000"/>
          <w:sz w:val="24"/>
          <w:szCs w:val="24"/>
        </w:rPr>
        <w:t>0</w:t>
      </w:r>
      <w:r w:rsidR="002864C0" w:rsidRPr="00F54501">
        <w:rPr>
          <w:b/>
          <w:color w:val="000000"/>
          <w:sz w:val="24"/>
          <w:szCs w:val="24"/>
        </w:rPr>
        <w:t>+5</w:t>
      </w:r>
    </w:p>
    <w:p w:rsidR="002864C0" w:rsidRPr="00F54501" w:rsidRDefault="002864C0" w:rsidP="002864C0">
      <w:pPr>
        <w:pStyle w:val="NormalnyWeb"/>
        <w:spacing w:after="0" w:afterAutospacing="0"/>
        <w:rPr>
          <w:b/>
          <w:color w:val="000000"/>
          <w:sz w:val="24"/>
          <w:szCs w:val="24"/>
        </w:rPr>
      </w:pPr>
    </w:p>
    <w:p w:rsidR="002864C0" w:rsidRDefault="002864C0" w:rsidP="00286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618" w:rsidRPr="00F54501" w:rsidRDefault="005A26A8" w:rsidP="005A26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Komisja:</w:t>
      </w:r>
    </w:p>
    <w:p w:rsidR="00133618" w:rsidRPr="00F54501" w:rsidRDefault="00133618" w:rsidP="00133618">
      <w:pPr>
        <w:pStyle w:val="NormalnyWeb"/>
        <w:numPr>
          <w:ilvl w:val="0"/>
          <w:numId w:val="6"/>
        </w:numPr>
        <w:spacing w:after="0" w:afterAutospacing="0"/>
        <w:jc w:val="both"/>
        <w:rPr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>Kierownik zamawiającego – Agnieszka Markowicz</w:t>
      </w:r>
    </w:p>
    <w:p w:rsidR="00133618" w:rsidRPr="00F54501" w:rsidRDefault="00133618" w:rsidP="00133618">
      <w:pPr>
        <w:pStyle w:val="NormalnyWeb"/>
        <w:numPr>
          <w:ilvl w:val="0"/>
          <w:numId w:val="6"/>
        </w:numPr>
        <w:spacing w:after="0" w:afterAutospacing="0"/>
        <w:jc w:val="both"/>
        <w:rPr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>Członek komisji przetargowej – Monika Bojanowska</w:t>
      </w:r>
    </w:p>
    <w:p w:rsidR="00133618" w:rsidRPr="00F54501" w:rsidRDefault="00133618" w:rsidP="00133618">
      <w:pPr>
        <w:pStyle w:val="NormalnyWeb"/>
        <w:numPr>
          <w:ilvl w:val="0"/>
          <w:numId w:val="6"/>
        </w:numPr>
        <w:spacing w:after="0" w:afterAutospacing="0"/>
        <w:jc w:val="both"/>
        <w:rPr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 xml:space="preserve">Członek komisji przetargowej – </w:t>
      </w:r>
      <w:r w:rsidR="00F54501">
        <w:rPr>
          <w:color w:val="000000"/>
          <w:sz w:val="24"/>
          <w:szCs w:val="24"/>
        </w:rPr>
        <w:t>Krzysztof Wdowiak</w:t>
      </w:r>
    </w:p>
    <w:p w:rsidR="00133618" w:rsidRPr="00F54501" w:rsidRDefault="00133618" w:rsidP="00133618">
      <w:pPr>
        <w:pStyle w:val="NormalnyWeb"/>
        <w:numPr>
          <w:ilvl w:val="0"/>
          <w:numId w:val="6"/>
        </w:numPr>
        <w:spacing w:after="0" w:afterAutospacing="0"/>
        <w:jc w:val="both"/>
        <w:rPr>
          <w:color w:val="000000"/>
          <w:sz w:val="24"/>
          <w:szCs w:val="24"/>
        </w:rPr>
      </w:pPr>
      <w:r w:rsidRPr="00F54501">
        <w:rPr>
          <w:color w:val="000000"/>
          <w:sz w:val="24"/>
          <w:szCs w:val="24"/>
        </w:rPr>
        <w:t xml:space="preserve">Członek komisji przetargowej – </w:t>
      </w:r>
      <w:r w:rsidR="00F54501">
        <w:rPr>
          <w:color w:val="000000"/>
          <w:sz w:val="24"/>
          <w:szCs w:val="24"/>
        </w:rPr>
        <w:t>Katarzyna Janczyk</w:t>
      </w:r>
    </w:p>
    <w:p w:rsidR="00EF6A7B" w:rsidRPr="00F54501" w:rsidRDefault="00EF6A7B" w:rsidP="00154BE7">
      <w:pPr>
        <w:pStyle w:val="NormalnyWeb"/>
        <w:spacing w:after="0" w:afterAutospacing="0"/>
        <w:jc w:val="both"/>
        <w:rPr>
          <w:color w:val="000000"/>
          <w:sz w:val="24"/>
          <w:szCs w:val="24"/>
        </w:rPr>
      </w:pPr>
    </w:p>
    <w:sectPr w:rsidR="00EF6A7B" w:rsidRPr="00F54501" w:rsidSect="00DB4F0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56" w:rsidRDefault="00692A56" w:rsidP="00653E8F">
      <w:pPr>
        <w:spacing w:after="0" w:line="240" w:lineRule="auto"/>
      </w:pPr>
      <w:r>
        <w:separator/>
      </w:r>
    </w:p>
  </w:endnote>
  <w:endnote w:type="continuationSeparator" w:id="0">
    <w:p w:rsidR="00692A56" w:rsidRDefault="00692A56" w:rsidP="0065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18657"/>
      <w:docPartObj>
        <w:docPartGallery w:val="Page Numbers (Bottom of Page)"/>
        <w:docPartUnique/>
      </w:docPartObj>
    </w:sdtPr>
    <w:sdtContent>
      <w:p w:rsidR="007468B3" w:rsidRDefault="007468B3">
        <w:pPr>
          <w:pStyle w:val="Stopka"/>
          <w:jc w:val="right"/>
        </w:pPr>
        <w:fldSimple w:instr=" PAGE   \* MERGEFORMAT ">
          <w:r w:rsidR="005A26A8">
            <w:rPr>
              <w:noProof/>
            </w:rPr>
            <w:t>1</w:t>
          </w:r>
        </w:fldSimple>
      </w:p>
    </w:sdtContent>
  </w:sdt>
  <w:p w:rsidR="007468B3" w:rsidRDefault="007468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56" w:rsidRDefault="00692A56" w:rsidP="00653E8F">
      <w:pPr>
        <w:spacing w:after="0" w:line="240" w:lineRule="auto"/>
      </w:pPr>
      <w:r>
        <w:separator/>
      </w:r>
    </w:p>
  </w:footnote>
  <w:footnote w:type="continuationSeparator" w:id="0">
    <w:p w:rsidR="00692A56" w:rsidRDefault="00692A56" w:rsidP="0065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32E"/>
    <w:multiLevelType w:val="hybridMultilevel"/>
    <w:tmpl w:val="7CAC4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047C"/>
    <w:multiLevelType w:val="hybridMultilevel"/>
    <w:tmpl w:val="8C1CB996"/>
    <w:lvl w:ilvl="0" w:tplc="9A82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199B"/>
    <w:multiLevelType w:val="hybridMultilevel"/>
    <w:tmpl w:val="0D500D7A"/>
    <w:lvl w:ilvl="0" w:tplc="75303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8E7"/>
    <w:multiLevelType w:val="hybridMultilevel"/>
    <w:tmpl w:val="AB22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8FA"/>
    <w:multiLevelType w:val="hybridMultilevel"/>
    <w:tmpl w:val="68FAC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707F5"/>
    <w:multiLevelType w:val="hybridMultilevel"/>
    <w:tmpl w:val="0D500D7A"/>
    <w:lvl w:ilvl="0" w:tplc="75303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01B"/>
    <w:rsid w:val="00004FF2"/>
    <w:rsid w:val="0005123F"/>
    <w:rsid w:val="000A03A2"/>
    <w:rsid w:val="00100B70"/>
    <w:rsid w:val="00133618"/>
    <w:rsid w:val="00144393"/>
    <w:rsid w:val="00154BE7"/>
    <w:rsid w:val="001D2930"/>
    <w:rsid w:val="00234A30"/>
    <w:rsid w:val="002864C0"/>
    <w:rsid w:val="002A333D"/>
    <w:rsid w:val="00465C56"/>
    <w:rsid w:val="00562176"/>
    <w:rsid w:val="00593FD9"/>
    <w:rsid w:val="0059407D"/>
    <w:rsid w:val="005A26A8"/>
    <w:rsid w:val="00653E8F"/>
    <w:rsid w:val="00692A56"/>
    <w:rsid w:val="007468B3"/>
    <w:rsid w:val="007630B1"/>
    <w:rsid w:val="007914C2"/>
    <w:rsid w:val="00857D3A"/>
    <w:rsid w:val="00864804"/>
    <w:rsid w:val="008C52D1"/>
    <w:rsid w:val="008F41D0"/>
    <w:rsid w:val="0097301B"/>
    <w:rsid w:val="0099058B"/>
    <w:rsid w:val="00DB4F0B"/>
    <w:rsid w:val="00E700E8"/>
    <w:rsid w:val="00E74238"/>
    <w:rsid w:val="00EF6A7B"/>
    <w:rsid w:val="00F14EFF"/>
    <w:rsid w:val="00F54501"/>
    <w:rsid w:val="00FA0A9A"/>
    <w:rsid w:val="00FD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BE7"/>
    <w:pPr>
      <w:spacing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154BE7"/>
    <w:rPr>
      <w:b/>
      <w:bCs/>
    </w:rPr>
  </w:style>
  <w:style w:type="paragraph" w:styleId="Akapitzlist">
    <w:name w:val="List Paragraph"/>
    <w:basedOn w:val="Normalny"/>
    <w:uiPriority w:val="34"/>
    <w:qFormat/>
    <w:rsid w:val="00154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E8F"/>
  </w:style>
  <w:style w:type="paragraph" w:styleId="Stopka">
    <w:name w:val="footer"/>
    <w:basedOn w:val="Normalny"/>
    <w:link w:val="StopkaZnak"/>
    <w:uiPriority w:val="99"/>
    <w:unhideWhenUsed/>
    <w:rsid w:val="0065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6</cp:revision>
  <cp:lastPrinted>2021-02-26T11:17:00Z</cp:lastPrinted>
  <dcterms:created xsi:type="dcterms:W3CDTF">2020-11-13T07:19:00Z</dcterms:created>
  <dcterms:modified xsi:type="dcterms:W3CDTF">2021-02-26T11:25:00Z</dcterms:modified>
</cp:coreProperties>
</file>